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49" w:rsidRPr="00E162AB" w:rsidRDefault="00A3211B" w:rsidP="00F74FE2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74FE2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FDC1858" wp14:editId="699EE5EC">
            <wp:simplePos x="0" y="0"/>
            <wp:positionH relativeFrom="column">
              <wp:posOffset>-691515</wp:posOffset>
            </wp:positionH>
            <wp:positionV relativeFrom="paragraph">
              <wp:posOffset>-425450</wp:posOffset>
            </wp:positionV>
            <wp:extent cx="7511415" cy="1295400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     </w:t>
      </w:r>
      <w:r w:rsidR="00506149" w:rsidRPr="00E162A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                                  </w:t>
      </w:r>
      <w:r w:rsidR="00506149" w:rsidRPr="00E41BE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Αθήνα, </w:t>
      </w:r>
      <w:r w:rsidR="00401AA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21</w:t>
      </w:r>
      <w:r w:rsidR="00506149" w:rsidRPr="00E41BE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.1</w:t>
      </w:r>
      <w:r w:rsidR="00401AA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506149" w:rsidRPr="00E41BE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.1</w:t>
      </w:r>
      <w:r w:rsidR="00401AA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6</w:t>
      </w:r>
      <w:r w:rsid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</w:t>
      </w:r>
      <w:r w:rsidR="00425F8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</w:t>
      </w:r>
    </w:p>
    <w:p w:rsidR="00F74FE2" w:rsidRPr="00401AAE" w:rsidRDefault="00F74FE2" w:rsidP="00F74FE2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</w:pPr>
      <w:r w:rsidRPr="00401AAE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ΔΕΛΤΙΟ ΤΥΠΟΥ</w:t>
      </w:r>
      <w:r w:rsidR="00E41BEA" w:rsidRPr="00401AAE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 xml:space="preserve">                         </w:t>
      </w:r>
    </w:p>
    <w:p w:rsidR="00506149" w:rsidRPr="00506149" w:rsidRDefault="00506149" w:rsidP="0050614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0614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Το σκάνδαλο  ΠΑΝΓΑΙΑ – ΚΕΡΑΝΗΣ δεν θα νομιμοποιηθεί</w:t>
      </w:r>
    </w:p>
    <w:p w:rsidR="00506149" w:rsidRPr="00506149" w:rsidRDefault="00506149" w:rsidP="0050614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0614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Εκτεθειμένος με την υπογραφή του και  ο ΤΣΑΚΑΛΩΤΟΣ</w:t>
      </w:r>
    </w:p>
    <w:p w:rsidR="00506149" w:rsidRPr="00506149" w:rsidRDefault="00506149" w:rsidP="00506149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Είναι προφανώς ενδεικτικό πολλών πραγμάτων το γεγονός ότι το </w:t>
      </w:r>
      <w:r w:rsidR="00AF523E">
        <w:rPr>
          <w:rFonts w:asciiTheme="minorHAnsi" w:eastAsiaTheme="minorHAnsi" w:hAnsiTheme="minorHAnsi" w:cstheme="minorBidi"/>
          <w:sz w:val="26"/>
          <w:szCs w:val="26"/>
          <w:lang w:eastAsia="en-US"/>
        </w:rPr>
        <w:t>ΥΠΟΙΚ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αρνείται να τοποθετηθεί επί του τεράστιου ζητήματος που ήρθε στο φως και σχετίζεται με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την τοποθέτηση στελέχους της Πανγαία στη διοίκηση της ‘’ανεξάρτητης’’ αρχής δημοσίων εσόδων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Το πώς δηλαδή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παρακάμπτεται το προφανές ασυμβίβαστο, 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>το ίδιο στέλεχος να εκπροσωπεί ταυτόχρονα και τα συμφέροντα του Δημοσίου, αλλά και του ιδιώτη, απ’ τον οποίο το δημόσιο ενοικιάζει πλήθος ακινήτων.</w:t>
      </w:r>
    </w:p>
    <w:p w:rsidR="00506149" w:rsidRPr="00506149" w:rsidRDefault="00506149" w:rsidP="00506149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Ο κος </w:t>
      </w:r>
      <w:proofErr w:type="spellStart"/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>Τσακαλώτος</w:t>
      </w:r>
      <w:proofErr w:type="spellEnd"/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όμως δεν περιορίζεται μόνο σε αυτό. Με απόφασή του επιχειρεί να στεγάσει στο κτίριο Κεράνης, συνολικής επιφάνειας 42.000 τμ, τη Γενική Γραμματεία Ιδιωτικού Χρέους, η οποία αριθμεί περί των 30 υπαλλήλων.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Απόφαση η οποία θα σημάνει την εκταμίευση αρκετών εκατομμυρίων προς την ιδιοκτήτρια εταιρεία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:rsidR="00506149" w:rsidRPr="00506149" w:rsidRDefault="00506149" w:rsidP="00506149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Στην απόφασή της μάλιστα αυτή η πολιτική ηγεσία επικαλείται τη γνωμοδότηση των αρμόδιων τεχνικών και οικονομικών υπηρεσιών του Υπουργείου της (την οποία και επισυνάπτουμε). Με τη διαφορά όμως </w:t>
      </w:r>
      <w:r w:rsidRPr="00506149">
        <w:rPr>
          <w:rFonts w:asciiTheme="minorHAnsi" w:eastAsiaTheme="minorHAnsi" w:hAnsiTheme="minorHAnsi" w:cstheme="minorBidi"/>
          <w:sz w:val="26"/>
          <w:szCs w:val="26"/>
          <w:u w:val="single"/>
          <w:lang w:eastAsia="en-US"/>
        </w:rPr>
        <w:t xml:space="preserve">ότι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  <w:t>οι αρμόδιες υπηρεσίες εκφράζουν επί της ουσίας την αντίθεσή τους σε αυτή την υπόθεση</w:t>
      </w:r>
      <w:r w:rsidR="00AF523E"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  <w:t>,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  <w:t xml:space="preserve"> θέτοντας πολύ σοβαρά ερωτήματα και προϋποθέσεις για την ασφάλεια του κτιρίου αλλά και για την οικονομική ζημιά που θα υποστεί το Δημόσιο από μια τέτοια μετακίνηση.   </w:t>
      </w:r>
    </w:p>
    <w:p w:rsidR="00506149" w:rsidRPr="00506149" w:rsidRDefault="00506149" w:rsidP="00506149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Με ποιο επιχείρημα παρακάμπτονται απ’ τον υπουργό τα σοβαρά ζητήματα που οι υπηρεσίες ΤΟΥ ΔΙΚΟΥ του υπουργείου θέτουν;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  <w:t>Ποιος αναλαμβάνει την ευθύνη για τα θέματα ασφάλειας που έχουν εντοπιστεί ή για την οικονομική ζημιά που προκύπτει για το Δημόσιο;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>Από πότε οι Υπουργοί τοποθετούνται για τε</w:t>
      </w:r>
      <w:r w:rsidR="00E162AB">
        <w:rPr>
          <w:rFonts w:asciiTheme="minorHAnsi" w:eastAsiaTheme="minorHAnsi" w:hAnsiTheme="minorHAnsi" w:cstheme="minorBidi"/>
          <w:sz w:val="26"/>
          <w:szCs w:val="26"/>
          <w:lang w:eastAsia="en-US"/>
        </w:rPr>
        <w:t>χνικής φύσεως θέματα και με ποιω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ν εισηγήσεις, αν όχι αυτών που έχουν την ευθύνη;   </w:t>
      </w:r>
    </w:p>
    <w:p w:rsidR="00506149" w:rsidRPr="00506149" w:rsidRDefault="00506149" w:rsidP="00506149">
      <w:pPr>
        <w:spacing w:after="200" w:line="276" w:lineRule="auto"/>
        <w:ind w:firstLine="36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Θα απαντήσει ο Κος </w:t>
      </w:r>
      <w:proofErr w:type="spellStart"/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Τσακαλώτος</w:t>
      </w:r>
      <w:proofErr w:type="spellEnd"/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στα ζητήματα που θέτουν οι υπηρεσίες του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και ενδεικτικά αφορούν:</w:t>
      </w:r>
    </w:p>
    <w:p w:rsidR="00506149" w:rsidRPr="00506149" w:rsidRDefault="00506149" w:rsidP="0050614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Την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έλλειψη απαραίτητων μελετών για την ασφάλεια και την καταλληλότητα του κτιρίου.</w:t>
      </w:r>
    </w:p>
    <w:p w:rsidR="00506149" w:rsidRPr="00506149" w:rsidRDefault="00506149" w:rsidP="0050614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 xml:space="preserve">Το πολύ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υψηλό κόστος ανά </w:t>
      </w:r>
      <w:proofErr w:type="spellStart"/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τ.μ</w:t>
      </w:r>
      <w:proofErr w:type="spellEnd"/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σε σχέση με ακίνητα που μισθώνει σήμερα το Δημόσιο και κυρίως με τις πραγματικές τιμές της αγοράς.</w:t>
      </w:r>
    </w:p>
    <w:p w:rsidR="00506149" w:rsidRPr="00506149" w:rsidRDefault="00506149" w:rsidP="0050614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Το γεγονός ότι το δημόσιο θα επιβαρύνεται, πέραν του ενοικίου των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221.000 ευρώ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μηνιαίως και με έξοδα συντήρησης του κτιρίου τα οποία θα ανέρχονται σε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20.000 ευρώ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το μήνα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 Έξοδα που σε όλες τις άλλες περιπτώσεις μίσθωσης ακινήτων απ’ το δημόσιο τα επιβαρύνεται ο ιδιοκτήτης.</w:t>
      </w:r>
    </w:p>
    <w:p w:rsidR="00506149" w:rsidRPr="00506149" w:rsidRDefault="00506149" w:rsidP="0050614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Το γεγονός ότι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για το Κεράνης προβλέπεται κάθε χρόνο υποχρεωτική αύξηση του ενοικίου,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τη στιγμή που το Δημόσιο βρίσκεται σε διαδικασία μείωσης των ενοικίων που καταβάλει, σε άλλα κτίρια.</w:t>
      </w:r>
    </w:p>
    <w:p w:rsidR="00401AAE" w:rsidRPr="00401AAE" w:rsidRDefault="00506149" w:rsidP="00401AAE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Για τα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θέματα ασφάλειας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που προκύπτουν για τους επισκέπτες του κτιρίου και του</w:t>
      </w:r>
      <w:r w:rsidR="00401AAE">
        <w:rPr>
          <w:rFonts w:asciiTheme="minorHAnsi" w:eastAsiaTheme="minorHAnsi" w:hAnsiTheme="minorHAnsi" w:cstheme="minorBidi"/>
          <w:sz w:val="26"/>
          <w:szCs w:val="26"/>
          <w:lang w:eastAsia="en-US"/>
        </w:rPr>
        <w:t>ς</w:t>
      </w:r>
      <w:r w:rsidRPr="0050614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εργαζόμενους, καθώς και την 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έλλειψη απαραίτητων μελετών. </w:t>
      </w:r>
    </w:p>
    <w:p w:rsidR="00401AAE" w:rsidRPr="00401AAE" w:rsidRDefault="00401AAE" w:rsidP="00506149">
      <w:pPr>
        <w:spacing w:after="200" w:line="276" w:lineRule="auto"/>
        <w:ind w:left="360" w:firstLine="360"/>
        <w:jc w:val="both"/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</w:p>
    <w:p w:rsidR="00506149" w:rsidRPr="00506149" w:rsidRDefault="00506149" w:rsidP="00506149">
      <w:pPr>
        <w:spacing w:after="200" w:line="276" w:lineRule="auto"/>
        <w:ind w:left="360" w:firstLine="36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Τι έχει να απαντήσει ο </w:t>
      </w:r>
      <w:r w:rsidR="00AF523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Υ</w:t>
      </w:r>
      <w:bookmarkStart w:id="0" w:name="_GoBack"/>
      <w:bookmarkEnd w:id="0"/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πουργός στο κάλεσμα των υπηρεσιών του να διερευνήσει έστω τη δυνατότητα επαναδιαπραγμάτευσης ορισμένων τουλάχιστον όρων του συμφωνητικού μίσθωσης με την Πανγαία; </w:t>
      </w:r>
    </w:p>
    <w:p w:rsidR="00506149" w:rsidRPr="00506149" w:rsidRDefault="00506149" w:rsidP="00506149">
      <w:pPr>
        <w:spacing w:after="200" w:line="276" w:lineRule="auto"/>
        <w:ind w:left="360" w:firstLine="36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Προεξοφλεί ο κύριος υπουργός την αρνητική απάντησ</w:t>
      </w:r>
      <w:r w:rsidR="00B15E6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ή</w:t>
      </w:r>
      <w:r w:rsidRPr="005061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της και πόσο ανεξάρτητο είναι αυτό με την εμπλοκή στελεχών της Πανγαία στη διοίκηση των φορολογικών υπηρεσιών; </w:t>
      </w:r>
    </w:p>
    <w:p w:rsidR="00506149" w:rsidRPr="00506149" w:rsidRDefault="00506149" w:rsidP="00506149">
      <w:pPr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0614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Η ΠΡΟΚΛΗΤΙΚΗ ΑΥΤΗ ΕΠΙΜΟΝΗ ΣΤΗΝ ‘’ΤΑΚΤΟΠΟΙΗΣΗ’’ ΤΟΥ ΖΗΤΗΜΑΤΟΣ ΚΕΡΑΝΗ ΔΕΝ ΕΙΝΑΙ ΤΥΧΑΙΑ.</w:t>
      </w:r>
    </w:p>
    <w:p w:rsidR="00506149" w:rsidRPr="00401AAE" w:rsidRDefault="00506149" w:rsidP="00F74FE2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2302B" w:rsidRPr="00401AAE" w:rsidRDefault="0092302B" w:rsidP="00F74FE2">
      <w:pPr>
        <w:spacing w:after="200" w:line="276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401AAE">
        <w:rPr>
          <w:rFonts w:ascii="Calibri" w:hAnsi="Calibri" w:cs="Tahoma"/>
          <w:b/>
          <w:caps/>
          <w:color w:val="000000"/>
          <w:sz w:val="28"/>
          <w:szCs w:val="28"/>
        </w:rPr>
        <w:t>γ</w:t>
      </w:r>
      <w:r w:rsidRPr="00401AAE">
        <w:rPr>
          <w:rFonts w:ascii="Calibri" w:hAnsi="Calibri" w:cs="Tahoma"/>
          <w:b/>
          <w:color w:val="000000"/>
          <w:sz w:val="28"/>
          <w:szCs w:val="28"/>
        </w:rPr>
        <w:t>ια το Δ</w:t>
      </w:r>
      <w:r w:rsidR="00401AAE" w:rsidRPr="00401AAE">
        <w:rPr>
          <w:rFonts w:ascii="Calibri" w:hAnsi="Calibri" w:cs="Tahoma"/>
          <w:b/>
          <w:color w:val="000000"/>
          <w:sz w:val="28"/>
          <w:szCs w:val="28"/>
        </w:rPr>
        <w:t xml:space="preserve">ιοικητικό </w:t>
      </w:r>
      <w:r w:rsidRPr="00401AAE">
        <w:rPr>
          <w:rFonts w:ascii="Calibri" w:hAnsi="Calibri" w:cs="Tahoma"/>
          <w:b/>
          <w:color w:val="000000"/>
          <w:sz w:val="28"/>
          <w:szCs w:val="28"/>
        </w:rPr>
        <w:t>Σ</w:t>
      </w:r>
      <w:r w:rsidR="00401AAE" w:rsidRPr="00401AAE">
        <w:rPr>
          <w:rFonts w:ascii="Calibri" w:hAnsi="Calibri" w:cs="Tahoma"/>
          <w:b/>
          <w:color w:val="000000"/>
          <w:sz w:val="28"/>
          <w:szCs w:val="28"/>
        </w:rPr>
        <w:t>υμβούλιο</w:t>
      </w:r>
    </w:p>
    <w:p w:rsidR="0092302B" w:rsidRPr="00401AAE" w:rsidRDefault="00401AAE" w:rsidP="00F74FE2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  </w:t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>Ο Πρόεδρος</w:t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F74FE2" w:rsidRPr="00401AAE">
        <w:rPr>
          <w:rFonts w:ascii="Calibri" w:hAnsi="Calibri" w:cs="Tahoma"/>
          <w:b/>
          <w:color w:val="000000"/>
          <w:sz w:val="28"/>
          <w:szCs w:val="28"/>
        </w:rPr>
        <w:t>Ο</w:t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 xml:space="preserve"> Γεν</w:t>
      </w:r>
      <w:r w:rsidR="00F74FE2" w:rsidRPr="00401AAE">
        <w:rPr>
          <w:rFonts w:ascii="Calibri" w:hAnsi="Calibri" w:cs="Tahoma"/>
          <w:b/>
          <w:color w:val="000000"/>
          <w:sz w:val="28"/>
          <w:szCs w:val="28"/>
        </w:rPr>
        <w:t>.</w:t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 xml:space="preserve"> Γραμματέας</w:t>
      </w:r>
    </w:p>
    <w:p w:rsidR="0092302B" w:rsidRPr="00401AAE" w:rsidRDefault="0092302B" w:rsidP="00F74FE2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92302B" w:rsidRPr="00401AAE" w:rsidRDefault="00FD393E" w:rsidP="00F74FE2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401AAE">
        <w:rPr>
          <w:rFonts w:ascii="Calibri" w:hAnsi="Calibri" w:cs="Tahoma"/>
          <w:b/>
          <w:color w:val="000000"/>
          <w:sz w:val="28"/>
          <w:szCs w:val="28"/>
        </w:rPr>
        <w:t xml:space="preserve">  </w:t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>Μέρκος Δημήτριος</w:t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="0092302B"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 xml:space="preserve">   </w:t>
      </w:r>
      <w:r w:rsidR="00401AAE">
        <w:rPr>
          <w:rFonts w:ascii="Calibri" w:hAnsi="Calibri" w:cs="Tahoma"/>
          <w:b/>
          <w:color w:val="000000"/>
          <w:sz w:val="28"/>
          <w:szCs w:val="28"/>
        </w:rPr>
        <w:tab/>
        <w:t xml:space="preserve">  Γεωργιόπουλος Διονύσιος</w:t>
      </w:r>
    </w:p>
    <w:sectPr w:rsidR="0092302B" w:rsidRPr="00401AAE" w:rsidSect="0092302B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FF" w:rsidRDefault="00C06BFF" w:rsidP="0091456B">
      <w:r>
        <w:separator/>
      </w:r>
    </w:p>
  </w:endnote>
  <w:endnote w:type="continuationSeparator" w:id="0">
    <w:p w:rsidR="00C06BFF" w:rsidRDefault="00C06BFF" w:rsidP="009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541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302B" w:rsidRDefault="0092302B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52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52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1456B" w:rsidRDefault="00914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FF" w:rsidRDefault="00C06BFF" w:rsidP="0091456B">
      <w:r>
        <w:separator/>
      </w:r>
    </w:p>
  </w:footnote>
  <w:footnote w:type="continuationSeparator" w:id="0">
    <w:p w:rsidR="00C06BFF" w:rsidRDefault="00C06BFF" w:rsidP="0091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11"/>
    <w:multiLevelType w:val="hybridMultilevel"/>
    <w:tmpl w:val="8DDCC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4E64"/>
    <w:multiLevelType w:val="hybridMultilevel"/>
    <w:tmpl w:val="3A14992A"/>
    <w:lvl w:ilvl="0" w:tplc="0408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5D10F5"/>
    <w:multiLevelType w:val="hybridMultilevel"/>
    <w:tmpl w:val="C5A27916"/>
    <w:lvl w:ilvl="0" w:tplc="D4B81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014F"/>
    <w:multiLevelType w:val="hybridMultilevel"/>
    <w:tmpl w:val="FEFEE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0C"/>
    <w:multiLevelType w:val="hybridMultilevel"/>
    <w:tmpl w:val="E362A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7A95"/>
    <w:multiLevelType w:val="hybridMultilevel"/>
    <w:tmpl w:val="F76EDC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686FD5"/>
    <w:multiLevelType w:val="hybridMultilevel"/>
    <w:tmpl w:val="2DEC365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E30CE"/>
    <w:multiLevelType w:val="hybridMultilevel"/>
    <w:tmpl w:val="C7C2F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73EE"/>
    <w:multiLevelType w:val="hybridMultilevel"/>
    <w:tmpl w:val="A1F0E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CF6"/>
    <w:multiLevelType w:val="hybridMultilevel"/>
    <w:tmpl w:val="E542C98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B83B03"/>
    <w:multiLevelType w:val="hybridMultilevel"/>
    <w:tmpl w:val="21C6E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31D8C"/>
    <w:multiLevelType w:val="hybridMultilevel"/>
    <w:tmpl w:val="BF2ED098"/>
    <w:lvl w:ilvl="0" w:tplc="AE16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2B63"/>
    <w:multiLevelType w:val="hybridMultilevel"/>
    <w:tmpl w:val="99BC5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38B"/>
    <w:multiLevelType w:val="multilevel"/>
    <w:tmpl w:val="481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56FD9"/>
    <w:multiLevelType w:val="hybridMultilevel"/>
    <w:tmpl w:val="20E664BE"/>
    <w:lvl w:ilvl="0" w:tplc="3D9051E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B22F9"/>
    <w:multiLevelType w:val="hybridMultilevel"/>
    <w:tmpl w:val="B7BC30F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C2C121D"/>
    <w:multiLevelType w:val="hybridMultilevel"/>
    <w:tmpl w:val="1A8827E8"/>
    <w:lvl w:ilvl="0" w:tplc="351E29A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4373"/>
    <w:multiLevelType w:val="hybridMultilevel"/>
    <w:tmpl w:val="CB4CA9E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C96DFA"/>
    <w:multiLevelType w:val="hybridMultilevel"/>
    <w:tmpl w:val="C726B6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3787C"/>
    <w:multiLevelType w:val="hybridMultilevel"/>
    <w:tmpl w:val="99BC50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BF258F"/>
    <w:multiLevelType w:val="hybridMultilevel"/>
    <w:tmpl w:val="EB9AFB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CEE"/>
    <w:multiLevelType w:val="hybridMultilevel"/>
    <w:tmpl w:val="DCCE7D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43C2933"/>
    <w:multiLevelType w:val="hybridMultilevel"/>
    <w:tmpl w:val="9064D61E"/>
    <w:lvl w:ilvl="0" w:tplc="E2A21D32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172271"/>
    <w:multiLevelType w:val="multilevel"/>
    <w:tmpl w:val="EC88B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E1690C"/>
    <w:multiLevelType w:val="hybridMultilevel"/>
    <w:tmpl w:val="0122D93C"/>
    <w:lvl w:ilvl="0" w:tplc="351E29A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46F56"/>
    <w:multiLevelType w:val="hybridMultilevel"/>
    <w:tmpl w:val="FB8825F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2156192"/>
    <w:multiLevelType w:val="hybridMultilevel"/>
    <w:tmpl w:val="AF60AC8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C8B25D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152E69"/>
    <w:multiLevelType w:val="hybridMultilevel"/>
    <w:tmpl w:val="C7C2F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1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28"/>
  </w:num>
  <w:num w:numId="11">
    <w:abstractNumId w:val="8"/>
  </w:num>
  <w:num w:numId="12">
    <w:abstractNumId w:val="16"/>
  </w:num>
  <w:num w:numId="13">
    <w:abstractNumId w:val="24"/>
  </w:num>
  <w:num w:numId="14">
    <w:abstractNumId w:val="22"/>
  </w:num>
  <w:num w:numId="15">
    <w:abstractNumId w:val="14"/>
  </w:num>
  <w:num w:numId="16">
    <w:abstractNumId w:val="25"/>
  </w:num>
  <w:num w:numId="17">
    <w:abstractNumId w:val="19"/>
  </w:num>
  <w:num w:numId="18">
    <w:abstractNumId w:val="17"/>
  </w:num>
  <w:num w:numId="19">
    <w:abstractNumId w:val="10"/>
  </w:num>
  <w:num w:numId="20">
    <w:abstractNumId w:val="6"/>
  </w:num>
  <w:num w:numId="21">
    <w:abstractNumId w:val="5"/>
  </w:num>
  <w:num w:numId="22">
    <w:abstractNumId w:val="12"/>
  </w:num>
  <w:num w:numId="23">
    <w:abstractNumId w:val="23"/>
  </w:num>
  <w:num w:numId="24">
    <w:abstractNumId w:val="27"/>
  </w:num>
  <w:num w:numId="25">
    <w:abstractNumId w:val="1"/>
  </w:num>
  <w:num w:numId="26">
    <w:abstractNumId w:val="9"/>
  </w:num>
  <w:num w:numId="27">
    <w:abstractNumId w:val="2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29"/>
    <w:rsid w:val="00021676"/>
    <w:rsid w:val="00031BB1"/>
    <w:rsid w:val="00032352"/>
    <w:rsid w:val="000620E7"/>
    <w:rsid w:val="00062A93"/>
    <w:rsid w:val="000677B3"/>
    <w:rsid w:val="00072222"/>
    <w:rsid w:val="0009542E"/>
    <w:rsid w:val="00096A6A"/>
    <w:rsid w:val="000A7B50"/>
    <w:rsid w:val="000B14AE"/>
    <w:rsid w:val="000C79E1"/>
    <w:rsid w:val="000D6E99"/>
    <w:rsid w:val="000D72AB"/>
    <w:rsid w:val="000E23E4"/>
    <w:rsid w:val="000E5ED0"/>
    <w:rsid w:val="000F0F5C"/>
    <w:rsid w:val="000F35F2"/>
    <w:rsid w:val="001002A9"/>
    <w:rsid w:val="00104A77"/>
    <w:rsid w:val="00117A0E"/>
    <w:rsid w:val="00127C94"/>
    <w:rsid w:val="00160FE7"/>
    <w:rsid w:val="00161C7F"/>
    <w:rsid w:val="00175788"/>
    <w:rsid w:val="00177704"/>
    <w:rsid w:val="00186756"/>
    <w:rsid w:val="001A1085"/>
    <w:rsid w:val="001D6E17"/>
    <w:rsid w:val="001D747A"/>
    <w:rsid w:val="001E0D31"/>
    <w:rsid w:val="001F4314"/>
    <w:rsid w:val="0021372D"/>
    <w:rsid w:val="002154D1"/>
    <w:rsid w:val="00227368"/>
    <w:rsid w:val="00231FCE"/>
    <w:rsid w:val="00254BCC"/>
    <w:rsid w:val="00270A98"/>
    <w:rsid w:val="002762A7"/>
    <w:rsid w:val="00280983"/>
    <w:rsid w:val="002A044A"/>
    <w:rsid w:val="002A2E04"/>
    <w:rsid w:val="002A41BC"/>
    <w:rsid w:val="002A6ADA"/>
    <w:rsid w:val="002D048A"/>
    <w:rsid w:val="002D282D"/>
    <w:rsid w:val="002D6662"/>
    <w:rsid w:val="002E2FB1"/>
    <w:rsid w:val="002E5526"/>
    <w:rsid w:val="002E7207"/>
    <w:rsid w:val="002F26E7"/>
    <w:rsid w:val="003014E2"/>
    <w:rsid w:val="00320104"/>
    <w:rsid w:val="00334AA3"/>
    <w:rsid w:val="0033527B"/>
    <w:rsid w:val="00345523"/>
    <w:rsid w:val="003621E2"/>
    <w:rsid w:val="0036794F"/>
    <w:rsid w:val="003904FE"/>
    <w:rsid w:val="00397F9E"/>
    <w:rsid w:val="003B234C"/>
    <w:rsid w:val="003E2271"/>
    <w:rsid w:val="003F72CD"/>
    <w:rsid w:val="00401AAE"/>
    <w:rsid w:val="00425F8E"/>
    <w:rsid w:val="004304E1"/>
    <w:rsid w:val="004359AA"/>
    <w:rsid w:val="00436ECB"/>
    <w:rsid w:val="004372E2"/>
    <w:rsid w:val="00442A5B"/>
    <w:rsid w:val="00447D94"/>
    <w:rsid w:val="0045767C"/>
    <w:rsid w:val="004736A9"/>
    <w:rsid w:val="00487479"/>
    <w:rsid w:val="004D3C93"/>
    <w:rsid w:val="004D5DD7"/>
    <w:rsid w:val="004E6892"/>
    <w:rsid w:val="0050347E"/>
    <w:rsid w:val="00506149"/>
    <w:rsid w:val="00511870"/>
    <w:rsid w:val="00521C31"/>
    <w:rsid w:val="00521C99"/>
    <w:rsid w:val="005278FE"/>
    <w:rsid w:val="00531D3F"/>
    <w:rsid w:val="00542450"/>
    <w:rsid w:val="00555298"/>
    <w:rsid w:val="005C0291"/>
    <w:rsid w:val="005D2A86"/>
    <w:rsid w:val="005E5343"/>
    <w:rsid w:val="006002F7"/>
    <w:rsid w:val="00603AA0"/>
    <w:rsid w:val="0062416B"/>
    <w:rsid w:val="0062559A"/>
    <w:rsid w:val="00651526"/>
    <w:rsid w:val="00665F5C"/>
    <w:rsid w:val="006672BF"/>
    <w:rsid w:val="0068206F"/>
    <w:rsid w:val="00683DC0"/>
    <w:rsid w:val="006C34E0"/>
    <w:rsid w:val="006F4A50"/>
    <w:rsid w:val="00713493"/>
    <w:rsid w:val="00716BF9"/>
    <w:rsid w:val="007246A3"/>
    <w:rsid w:val="0073158D"/>
    <w:rsid w:val="00733E09"/>
    <w:rsid w:val="0075039A"/>
    <w:rsid w:val="00751B8B"/>
    <w:rsid w:val="00761802"/>
    <w:rsid w:val="007C72B7"/>
    <w:rsid w:val="007D46A6"/>
    <w:rsid w:val="00811B2B"/>
    <w:rsid w:val="008172BF"/>
    <w:rsid w:val="0082564D"/>
    <w:rsid w:val="00827726"/>
    <w:rsid w:val="00831A0D"/>
    <w:rsid w:val="00833C8F"/>
    <w:rsid w:val="00835432"/>
    <w:rsid w:val="00836CCF"/>
    <w:rsid w:val="00836E08"/>
    <w:rsid w:val="008463CB"/>
    <w:rsid w:val="00846690"/>
    <w:rsid w:val="0086679A"/>
    <w:rsid w:val="00870ED6"/>
    <w:rsid w:val="008900E1"/>
    <w:rsid w:val="008C4072"/>
    <w:rsid w:val="008D26F9"/>
    <w:rsid w:val="00912C3D"/>
    <w:rsid w:val="0091456B"/>
    <w:rsid w:val="00917D38"/>
    <w:rsid w:val="0092302B"/>
    <w:rsid w:val="0092520B"/>
    <w:rsid w:val="009308BA"/>
    <w:rsid w:val="009331CC"/>
    <w:rsid w:val="00935227"/>
    <w:rsid w:val="00943AA6"/>
    <w:rsid w:val="00951B41"/>
    <w:rsid w:val="00960BFA"/>
    <w:rsid w:val="00962DFF"/>
    <w:rsid w:val="00967D42"/>
    <w:rsid w:val="00973ACC"/>
    <w:rsid w:val="00973BAF"/>
    <w:rsid w:val="0098213D"/>
    <w:rsid w:val="009844C9"/>
    <w:rsid w:val="009851FD"/>
    <w:rsid w:val="0098534C"/>
    <w:rsid w:val="00985887"/>
    <w:rsid w:val="009C2514"/>
    <w:rsid w:val="009E2844"/>
    <w:rsid w:val="00A01B3E"/>
    <w:rsid w:val="00A158A3"/>
    <w:rsid w:val="00A164BB"/>
    <w:rsid w:val="00A314EC"/>
    <w:rsid w:val="00A3211B"/>
    <w:rsid w:val="00A749A9"/>
    <w:rsid w:val="00A768A8"/>
    <w:rsid w:val="00A92EDB"/>
    <w:rsid w:val="00A97FC6"/>
    <w:rsid w:val="00AD3D04"/>
    <w:rsid w:val="00AE69C6"/>
    <w:rsid w:val="00AE7A7B"/>
    <w:rsid w:val="00AF2F87"/>
    <w:rsid w:val="00AF523E"/>
    <w:rsid w:val="00B07927"/>
    <w:rsid w:val="00B15E65"/>
    <w:rsid w:val="00B33E29"/>
    <w:rsid w:val="00B42489"/>
    <w:rsid w:val="00B6667C"/>
    <w:rsid w:val="00B72F1B"/>
    <w:rsid w:val="00B73F48"/>
    <w:rsid w:val="00B95530"/>
    <w:rsid w:val="00BB347E"/>
    <w:rsid w:val="00BC7D7A"/>
    <w:rsid w:val="00BE2E9E"/>
    <w:rsid w:val="00BE5020"/>
    <w:rsid w:val="00BF06BD"/>
    <w:rsid w:val="00BF1725"/>
    <w:rsid w:val="00C02345"/>
    <w:rsid w:val="00C06BFF"/>
    <w:rsid w:val="00C11DDB"/>
    <w:rsid w:val="00C24837"/>
    <w:rsid w:val="00C273AD"/>
    <w:rsid w:val="00C40206"/>
    <w:rsid w:val="00C46966"/>
    <w:rsid w:val="00C5595D"/>
    <w:rsid w:val="00C60CDD"/>
    <w:rsid w:val="00C60ED3"/>
    <w:rsid w:val="00C762D8"/>
    <w:rsid w:val="00C848D8"/>
    <w:rsid w:val="00C92C42"/>
    <w:rsid w:val="00C95324"/>
    <w:rsid w:val="00CC7F1C"/>
    <w:rsid w:val="00CE4D08"/>
    <w:rsid w:val="00CF1BF0"/>
    <w:rsid w:val="00D013C7"/>
    <w:rsid w:val="00D079B4"/>
    <w:rsid w:val="00D224C7"/>
    <w:rsid w:val="00D66B85"/>
    <w:rsid w:val="00D828FA"/>
    <w:rsid w:val="00DD6B07"/>
    <w:rsid w:val="00DE6877"/>
    <w:rsid w:val="00DF6FAB"/>
    <w:rsid w:val="00E162AB"/>
    <w:rsid w:val="00E16333"/>
    <w:rsid w:val="00E4158E"/>
    <w:rsid w:val="00E41BEA"/>
    <w:rsid w:val="00E6539A"/>
    <w:rsid w:val="00E65617"/>
    <w:rsid w:val="00E67366"/>
    <w:rsid w:val="00E75FF1"/>
    <w:rsid w:val="00E80A34"/>
    <w:rsid w:val="00E826AB"/>
    <w:rsid w:val="00EA43A2"/>
    <w:rsid w:val="00EB2E42"/>
    <w:rsid w:val="00ED741F"/>
    <w:rsid w:val="00EE1A35"/>
    <w:rsid w:val="00F012A3"/>
    <w:rsid w:val="00F027B2"/>
    <w:rsid w:val="00F11C91"/>
    <w:rsid w:val="00F21DAD"/>
    <w:rsid w:val="00F375E8"/>
    <w:rsid w:val="00F62A50"/>
    <w:rsid w:val="00F63DDB"/>
    <w:rsid w:val="00F725C8"/>
    <w:rsid w:val="00F73A14"/>
    <w:rsid w:val="00F74FE2"/>
    <w:rsid w:val="00F7718A"/>
    <w:rsid w:val="00F8234F"/>
    <w:rsid w:val="00F87DD1"/>
    <w:rsid w:val="00FB48CA"/>
    <w:rsid w:val="00FC175D"/>
    <w:rsid w:val="00FC5BBF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5C8"/>
    <w:pPr>
      <w:ind w:left="720"/>
      <w:contextualSpacing/>
    </w:pPr>
  </w:style>
  <w:style w:type="paragraph" w:styleId="a6">
    <w:name w:val="header"/>
    <w:basedOn w:val="a"/>
    <w:link w:val="Char0"/>
    <w:rsid w:val="009145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1456B"/>
    <w:rPr>
      <w:sz w:val="24"/>
      <w:szCs w:val="24"/>
    </w:rPr>
  </w:style>
  <w:style w:type="paragraph" w:styleId="a7">
    <w:name w:val="footer"/>
    <w:basedOn w:val="a"/>
    <w:link w:val="Char1"/>
    <w:uiPriority w:val="99"/>
    <w:rsid w:val="009145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456B"/>
    <w:rPr>
      <w:sz w:val="24"/>
      <w:szCs w:val="24"/>
    </w:rPr>
  </w:style>
  <w:style w:type="paragraph" w:styleId="a8">
    <w:name w:val="Intense Quote"/>
    <w:basedOn w:val="a"/>
    <w:next w:val="a"/>
    <w:link w:val="Char2"/>
    <w:uiPriority w:val="30"/>
    <w:qFormat/>
    <w:rsid w:val="00E41B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Έντονο εισαγωγικό Char"/>
    <w:basedOn w:val="a0"/>
    <w:link w:val="a8"/>
    <w:uiPriority w:val="30"/>
    <w:rsid w:val="00E41BE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5C8"/>
    <w:pPr>
      <w:ind w:left="720"/>
      <w:contextualSpacing/>
    </w:pPr>
  </w:style>
  <w:style w:type="paragraph" w:styleId="a6">
    <w:name w:val="header"/>
    <w:basedOn w:val="a"/>
    <w:link w:val="Char0"/>
    <w:rsid w:val="009145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1456B"/>
    <w:rPr>
      <w:sz w:val="24"/>
      <w:szCs w:val="24"/>
    </w:rPr>
  </w:style>
  <w:style w:type="paragraph" w:styleId="a7">
    <w:name w:val="footer"/>
    <w:basedOn w:val="a"/>
    <w:link w:val="Char1"/>
    <w:uiPriority w:val="99"/>
    <w:rsid w:val="009145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456B"/>
    <w:rPr>
      <w:sz w:val="24"/>
      <w:szCs w:val="24"/>
    </w:rPr>
  </w:style>
  <w:style w:type="paragraph" w:styleId="a8">
    <w:name w:val="Intense Quote"/>
    <w:basedOn w:val="a"/>
    <w:next w:val="a"/>
    <w:link w:val="Char2"/>
    <w:uiPriority w:val="30"/>
    <w:qFormat/>
    <w:rsid w:val="00E41B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Έντονο εισαγωγικό Char"/>
    <w:basedOn w:val="a0"/>
    <w:link w:val="a8"/>
    <w:uiPriority w:val="30"/>
    <w:rsid w:val="00E41BE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FA73-7E0F-42EC-B750-9FB995C0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Sylogos Eforiakon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Silefor</cp:lastModifiedBy>
  <cp:revision>6</cp:revision>
  <cp:lastPrinted>2016-11-21T13:05:00Z</cp:lastPrinted>
  <dcterms:created xsi:type="dcterms:W3CDTF">2016-11-21T10:21:00Z</dcterms:created>
  <dcterms:modified xsi:type="dcterms:W3CDTF">2016-11-21T13:09:00Z</dcterms:modified>
</cp:coreProperties>
</file>